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Songti SC Regular" w:hAnsi="Songti SC Regular" w:eastAsia="Songti SC Regular" w:cs="Songti SC Regular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Songti SC Regular" w:hAnsi="Songti SC Regular" w:eastAsia="Songti SC Regular" w:cs="Songti SC Regular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中国可持续发展高级人才培养</w:t>
      </w:r>
    </w:p>
    <w:p>
      <w:pPr>
        <w:pStyle w:val="2"/>
        <w:jc w:val="center"/>
        <w:rPr>
          <w:rFonts w:hint="eastAsia" w:ascii="Songti SC Regular" w:hAnsi="Songti SC Regular" w:eastAsia="Songti SC Regular" w:cs="Songti SC Regular"/>
          <w:b/>
          <w:bCs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Songti SC Regular" w:hAnsi="Songti SC Regular" w:eastAsia="Songti SC Regular" w:cs="Songti SC Regular"/>
          <w:b/>
          <w:bCs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课程设置</w:t>
      </w:r>
    </w:p>
    <w:p>
      <w:pPr>
        <w:rPr>
          <w:rFonts w:hint="eastAsia"/>
          <w:lang w:eastAsia="zh-CN"/>
        </w:rPr>
      </w:pPr>
    </w:p>
    <w:tbl>
      <w:tblPr>
        <w:tblStyle w:val="5"/>
        <w:tblW w:w="8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522"/>
        <w:gridCol w:w="1238"/>
        <w:gridCol w:w="2654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3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lang w:eastAsia="zh-CN"/>
              </w:rPr>
              <w:t>序号</w:t>
            </w:r>
          </w:p>
        </w:tc>
        <w:tc>
          <w:tcPr>
            <w:tcW w:w="2522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</w:rPr>
            </w:pPr>
            <w:r>
              <w:rPr>
                <w:rFonts w:hint="eastAsia"/>
                <w:b/>
                <w:bCs/>
                <w:sz w:val="21"/>
                <w:szCs w:val="24"/>
              </w:rPr>
              <w:t>内容</w:t>
            </w:r>
          </w:p>
        </w:tc>
        <w:tc>
          <w:tcPr>
            <w:tcW w:w="123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</w:rPr>
            </w:pPr>
            <w:r>
              <w:rPr>
                <w:rFonts w:hint="eastAsia"/>
                <w:b/>
                <w:bCs/>
                <w:sz w:val="21"/>
                <w:szCs w:val="24"/>
              </w:rPr>
              <w:t>主讲人</w:t>
            </w:r>
          </w:p>
        </w:tc>
        <w:tc>
          <w:tcPr>
            <w:tcW w:w="265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</w:rPr>
            </w:pPr>
            <w:r>
              <w:rPr>
                <w:rFonts w:hint="eastAsia"/>
                <w:b/>
                <w:bCs/>
                <w:sz w:val="21"/>
                <w:szCs w:val="24"/>
              </w:rPr>
              <w:t>形式</w:t>
            </w:r>
          </w:p>
        </w:tc>
        <w:tc>
          <w:tcPr>
            <w:tcW w:w="156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</w:rPr>
            </w:pPr>
            <w:r>
              <w:rPr>
                <w:rFonts w:hint="eastAsia"/>
                <w:b/>
                <w:bCs/>
                <w:sz w:val="21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企业EHS(环境 健康 安全）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赵本常</w:t>
            </w:r>
          </w:p>
        </w:tc>
        <w:tc>
          <w:tcPr>
            <w:tcW w:w="265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讲座+讨论+案例</w:t>
            </w:r>
          </w:p>
        </w:tc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清水河校区经管楼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企业碳管理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王卫娜</w:t>
            </w:r>
          </w:p>
        </w:tc>
        <w:tc>
          <w:tcPr>
            <w:tcW w:w="265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讲座+讨论+案例学习</w:t>
            </w:r>
          </w:p>
        </w:tc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清水河校区经管楼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商业伦理与CSR基础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  <w:t>何铮</w:t>
            </w:r>
          </w:p>
        </w:tc>
        <w:tc>
          <w:tcPr>
            <w:tcW w:w="265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讲座+讨论+案例学习+企业参访</w:t>
            </w:r>
          </w:p>
        </w:tc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清水河校区经管楼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企业家精神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杜义飞</w:t>
            </w:r>
          </w:p>
        </w:tc>
        <w:tc>
          <w:tcPr>
            <w:tcW w:w="265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案例学习+讨论+企业参访</w:t>
            </w:r>
          </w:p>
        </w:tc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清水河校区经管楼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企业志愿文化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桂浩</w:t>
            </w:r>
          </w:p>
        </w:tc>
        <w:tc>
          <w:tcPr>
            <w:tcW w:w="265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讲座+讨论+案例学习</w:t>
            </w:r>
          </w:p>
        </w:tc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清水河校区经管楼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乡村振兴与可持续发展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郭虹、陈太勇</w:t>
            </w:r>
          </w:p>
        </w:tc>
        <w:tc>
          <w:tcPr>
            <w:tcW w:w="265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讲座+讨论+案例学习</w:t>
            </w:r>
          </w:p>
        </w:tc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清水河校区经管楼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利益相关方管理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Chris</w:t>
            </w:r>
          </w:p>
        </w:tc>
        <w:tc>
          <w:tcPr>
            <w:tcW w:w="265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讲座+讨论+案例学习</w:t>
            </w:r>
          </w:p>
        </w:tc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清水河校区经管楼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全球CSR标准解读与实践（GRI、ESG 、ISO26000、UN2030Goals&amp;Global Impact）；企业社会责任报告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孙继荣</w:t>
            </w:r>
          </w:p>
        </w:tc>
        <w:tc>
          <w:tcPr>
            <w:tcW w:w="265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讲座+讨论+案例学习</w:t>
            </w:r>
          </w:p>
        </w:tc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清水河校区经管楼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企业危机管理与可持续发展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白煜隆</w:t>
            </w:r>
          </w:p>
        </w:tc>
        <w:tc>
          <w:tcPr>
            <w:tcW w:w="265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讲座+讨论+案例学习</w:t>
            </w:r>
          </w:p>
        </w:tc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清水河校区经管楼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社会企业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王冰洁</w:t>
            </w:r>
          </w:p>
        </w:tc>
        <w:tc>
          <w:tcPr>
            <w:tcW w:w="265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案例学习+讨论+企业参访</w:t>
            </w:r>
          </w:p>
        </w:tc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清水河校区经管楼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共益企业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姜宇霏</w:t>
            </w:r>
          </w:p>
        </w:tc>
        <w:tc>
          <w:tcPr>
            <w:tcW w:w="265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讲座+讨论+案例学习</w:t>
            </w:r>
          </w:p>
        </w:tc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清水河校区经管楼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慈善信托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刘发跃</w:t>
            </w:r>
          </w:p>
        </w:tc>
        <w:tc>
          <w:tcPr>
            <w:tcW w:w="265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案例学习+讲座+讨论+企业参访</w:t>
            </w:r>
          </w:p>
        </w:tc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清水河校区经管楼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责任投资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鞠晴江</w:t>
            </w:r>
          </w:p>
        </w:tc>
        <w:tc>
          <w:tcPr>
            <w:tcW w:w="265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案例学习+讲座+讨论</w:t>
            </w:r>
          </w:p>
        </w:tc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清水河校区经管楼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工程伦理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陈光宇</w:t>
            </w:r>
          </w:p>
        </w:tc>
        <w:tc>
          <w:tcPr>
            <w:tcW w:w="265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案例学习+讲座+讨论</w:t>
            </w:r>
          </w:p>
        </w:tc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清水河校区经管楼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科技伦理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夏远强</w:t>
            </w:r>
          </w:p>
        </w:tc>
        <w:tc>
          <w:tcPr>
            <w:tcW w:w="265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案例学习+讲座+讨论</w:t>
            </w:r>
          </w:p>
        </w:tc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清水河校区经管楼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战略性慈善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  <w:t>冯天丽</w:t>
            </w:r>
          </w:p>
        </w:tc>
        <w:tc>
          <w:tcPr>
            <w:tcW w:w="265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案例学习+讲座+讨论</w:t>
            </w:r>
          </w:p>
        </w:tc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清水河校区经管楼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公益与品牌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魏恺</w:t>
            </w:r>
          </w:p>
        </w:tc>
        <w:tc>
          <w:tcPr>
            <w:tcW w:w="265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案例学习+讲座+讨论</w:t>
            </w:r>
          </w:p>
        </w:tc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清水河校区经管楼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企业基金会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张俪文</w:t>
            </w:r>
          </w:p>
        </w:tc>
        <w:tc>
          <w:tcPr>
            <w:tcW w:w="265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案例学习+讲座+讨论</w:t>
            </w:r>
          </w:p>
        </w:tc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清水河校区经管楼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  <w:t>企业党建与可持续发展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  <w:t>徐思国</w:t>
            </w:r>
          </w:p>
        </w:tc>
        <w:tc>
          <w:tcPr>
            <w:tcW w:w="265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案例学习+讲座+讨论</w:t>
            </w:r>
          </w:p>
        </w:tc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清水河校区经管楼</w:t>
            </w:r>
          </w:p>
        </w:tc>
      </w:tr>
    </w:tbl>
    <w:p>
      <w:pPr>
        <w:pStyle w:val="7"/>
        <w:rPr>
          <w:rFonts w:hint="default" w:ascii="Songti SC Regular" w:hAnsi="Songti SC Regular" w:eastAsia="Songti SC Regular" w:cs="Songti SC Regular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pgSz w:w="11900" w:h="16840"/>
      <w:pgMar w:top="2098" w:right="851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ngti SC Regular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0613169"/>
                          </w:sdtPr>
                          <w:sdtContent>
                            <w:p>
                              <w:pPr>
                                <w:pStyle w:val="3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m63mM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Jut5j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0613169"/>
                    </w:sdtPr>
                    <w:sdtContent>
                      <w:p>
                        <w:pPr>
                          <w:pStyle w:val="3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8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D10A0"/>
    <w:rsid w:val="0DD56E9C"/>
    <w:rsid w:val="3CC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footer"/>
    <w:basedOn w:val="1"/>
    <w:next w:val="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2022-01-10T08:01:00Z</dcterms:created>
  <dc:creator>赵伟旭</dc:creator>
  <cp:lastModifiedBy>赵伟旭</cp:lastModifiedBy>
  <dcterms:modified xsi:type="dcterms:W3CDTF">2022-01-10T08:32:54Z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BB185DFFF09E4D418422B576BCA3F23C</vt:lpwstr>
  </property>
</Properties>
</file>